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1" w:rsidRPr="006628A1" w:rsidRDefault="006628A1" w:rsidP="00C75DE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Recruitment and Discrimination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Job adverts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 must not state or imply in a job advert that you will discriminate against anyone. This includes saying you won’t make reasonable adjustments for workers with a disability.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Only use phrases like “recent graduate” or “highly experienced” when these are ac</w:t>
      </w:r>
      <w:bookmarkStart w:id="0" w:name="_GoBack"/>
      <w:bookmarkEnd w:id="0"/>
      <w:r w:rsidRPr="006628A1">
        <w:rPr>
          <w:rFonts w:ascii="Times New Roman" w:eastAsia="Times New Roman" w:hAnsi="Times New Roman" w:cs="Times New Roman"/>
          <w:sz w:val="24"/>
          <w:szCs w:val="24"/>
        </w:rPr>
        <w:t>tual requirements of the job. This could discriminate against younger or older people who might not have had the opportunity to get certain qualifications.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Where you advertise might cause indirect discrimination - for example, advertising only in men’s magazines.</w:t>
      </w:r>
    </w:p>
    <w:p w:rsidR="006628A1" w:rsidRPr="006628A1" w:rsidRDefault="006628A1" w:rsidP="00C75DEB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28A1">
        <w:rPr>
          <w:rFonts w:ascii="Times New Roman" w:eastAsia="Times New Roman" w:hAnsi="Times New Roman" w:cs="Times New Roman"/>
          <w:b/>
          <w:bCs/>
          <w:sz w:val="27"/>
          <w:szCs w:val="27"/>
        </w:rPr>
        <w:t>When you can discriminate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If it’s a requirement of the job you can specify that the successful applicant will be from a particular group. For example, people under 18 cannot legally sell alcohol.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 you can’t ask when recruiting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You must not ask candidates about </w:t>
      </w:r>
      <w:hyperlink r:id="rId6" w:tooltip="Types of discrimination" w:history="1">
        <w:r w:rsidRPr="00662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protected characteristics</w:t>
        </w:r>
      </w:hyperlink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and:</w:t>
      </w:r>
    </w:p>
    <w:p w:rsidR="006628A1" w:rsidRPr="006628A1" w:rsidRDefault="006628A1" w:rsidP="00C75DE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their health</w:t>
      </w:r>
    </w:p>
    <w:p w:rsidR="006628A1" w:rsidRPr="006628A1" w:rsidRDefault="006628A1" w:rsidP="00C75DE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if they’re married, single or in a civil partnership</w:t>
      </w:r>
    </w:p>
    <w:p w:rsidR="006628A1" w:rsidRPr="006628A1" w:rsidRDefault="006628A1" w:rsidP="00C75DE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if they have children or plan to have children 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6628A1"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ask about </w:t>
      </w:r>
      <w:proofErr w:type="spellStart"/>
      <w:r w:rsidRPr="006628A1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health or </w:t>
      </w:r>
      <w:hyperlink r:id="rId7" w:tooltip="Recruitment and disabled people" w:history="1">
        <w:r w:rsidRPr="00662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disability</w:t>
        </w:r>
      </w:hyperlink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if:</w:t>
      </w:r>
    </w:p>
    <w:p w:rsidR="006628A1" w:rsidRPr="006628A1" w:rsidRDefault="006628A1" w:rsidP="00C75DE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there are necessary requirements of the job that can’t be met with reasonable adjustments</w:t>
      </w:r>
    </w:p>
    <w:p w:rsidR="006628A1" w:rsidRPr="006628A1" w:rsidRDefault="006628A1" w:rsidP="00C75DE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you’re finding out if someone needs help to take part in a selection test or interview</w:t>
      </w:r>
    </w:p>
    <w:p w:rsidR="006628A1" w:rsidRPr="006628A1" w:rsidRDefault="006628A1" w:rsidP="00C75DE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you’re using ‘</w:t>
      </w:r>
      <w:hyperlink r:id="rId8" w:tooltip="Encouraging applications" w:history="1">
        <w:r w:rsidRPr="00662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positive action</w:t>
        </w:r>
      </w:hyperlink>
      <w:r w:rsidRPr="006628A1">
        <w:rPr>
          <w:rFonts w:ascii="Times New Roman" w:eastAsia="Times New Roman" w:hAnsi="Times New Roman" w:cs="Times New Roman"/>
          <w:sz w:val="24"/>
          <w:szCs w:val="24"/>
        </w:rPr>
        <w:t>’ to recruit a disabled person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Even if you use a recruitment agency you might be liable if any discrimination happens during their recruitment process.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Date of birth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You can’t ask someone for their date of birth on an application form. You can only include this as part of an equality monitoring form if you use one. 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Criminal convictions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Applicants don’t have to tell you about </w:t>
      </w:r>
      <w:hyperlink r:id="rId9" w:tooltip="Checks employers can make on job applicants" w:history="1">
        <w:r w:rsidRPr="00662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criminal convictions</w:t>
        </w:r>
      </w:hyperlink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if they’re spent. You must treat the applicant as if the conviction has not happened, and cannot refuse to employ the person because of their conviction.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There are some areas of employment that are exempt from this rule, </w:t>
      </w:r>
      <w:proofErr w:type="spellStart"/>
      <w:r w:rsidRPr="006628A1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schools.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Trade union membership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 must not use membership of a trade union as a factor in deciding whether to employ someone. This includes:</w:t>
      </w:r>
    </w:p>
    <w:p w:rsidR="006628A1" w:rsidRPr="006628A1" w:rsidRDefault="006628A1" w:rsidP="00C75DEB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not employing someone because they’re a member of a trade union</w:t>
      </w:r>
    </w:p>
    <w:p w:rsidR="006628A1" w:rsidRPr="006628A1" w:rsidRDefault="006628A1" w:rsidP="00C75DEB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insisting someone joins a trade union before you’ll employ them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Employing people with protected characteristics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 can choose a job candidate who has a protected characteristic over one who doesn’t if they’re as suitable for the job and you think that people with that characteristic:</w:t>
      </w:r>
    </w:p>
    <w:p w:rsidR="006628A1" w:rsidRPr="006628A1" w:rsidRDefault="006628A1" w:rsidP="00C75DEB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are underrepresented in the workforce, profession or industry </w:t>
      </w:r>
    </w:p>
    <w:p w:rsidR="006628A1" w:rsidRPr="006628A1" w:rsidRDefault="006628A1" w:rsidP="00C75DEB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lastRenderedPageBreak/>
        <w:t>suffer a disadvantage connected to that characteristic (</w:t>
      </w:r>
      <w:proofErr w:type="spellStart"/>
      <w:r w:rsidRPr="006628A1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6628A1">
        <w:rPr>
          <w:rFonts w:ascii="Times New Roman" w:eastAsia="Times New Roman" w:hAnsi="Times New Roman" w:cs="Times New Roman"/>
          <w:sz w:val="24"/>
          <w:szCs w:val="24"/>
        </w:rPr>
        <w:t xml:space="preserve"> people from a certain ethnic group are not often given jobs in your sector)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 can only do this if you’re trying to address the under-representation or disadvantage for that particular person. You must make decisions on a case by case basis and not because of a certain policy.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8A1">
        <w:rPr>
          <w:rFonts w:ascii="Times New Roman" w:eastAsia="Times New Roman" w:hAnsi="Times New Roman" w:cs="Times New Roman"/>
          <w:sz w:val="24"/>
          <w:szCs w:val="24"/>
        </w:rPr>
        <w:t>You can’t choose a candidate who isn’t as suitable for the job just because they have a protected characteristic.</w:t>
      </w:r>
    </w:p>
    <w:p w:rsidR="006628A1" w:rsidRPr="006628A1" w:rsidRDefault="006628A1" w:rsidP="00C75DE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28A1">
        <w:rPr>
          <w:rFonts w:ascii="Times New Roman" w:eastAsia="Times New Roman" w:hAnsi="Times New Roman" w:cs="Times New Roman"/>
          <w:b/>
          <w:bCs/>
          <w:sz w:val="36"/>
          <w:szCs w:val="36"/>
        </w:rPr>
        <w:t>Disabled people</w:t>
      </w:r>
    </w:p>
    <w:p w:rsidR="006628A1" w:rsidRPr="006628A1" w:rsidRDefault="006628A1" w:rsidP="00C75D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28A1">
        <w:rPr>
          <w:rFonts w:ascii="Times New Roman" w:eastAsia="Times New Roman" w:hAnsi="Times New Roman" w:cs="Times New Roman"/>
          <w:sz w:val="24"/>
          <w:szCs w:val="24"/>
        </w:rPr>
        <w:t>When recruiting you can treat a disabled person more favourably than a non-disabled person because of their disability.</w:t>
      </w:r>
      <w:proofErr w:type="gramEnd"/>
    </w:p>
    <w:p w:rsidR="006628A1" w:rsidRPr="006628A1" w:rsidRDefault="006628A1" w:rsidP="00C75DEB">
      <w:pPr>
        <w:pStyle w:val="Heading1"/>
        <w:spacing w:before="0" w:after="120"/>
        <w:rPr>
          <w:color w:val="auto"/>
          <w:sz w:val="32"/>
          <w:szCs w:val="32"/>
        </w:rPr>
      </w:pPr>
      <w:r w:rsidRPr="006628A1">
        <w:rPr>
          <w:color w:val="auto"/>
          <w:sz w:val="32"/>
          <w:szCs w:val="32"/>
        </w:rPr>
        <w:t>Discrimination during employment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You must not discriminate against your employees. This could be done by, for example: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 xml:space="preserve">introducing measures that discriminate between workers, </w:t>
      </w:r>
      <w:proofErr w:type="spellStart"/>
      <w:r>
        <w:t>eg</w:t>
      </w:r>
      <w:proofErr w:type="spellEnd"/>
      <w:r>
        <w:t xml:space="preserve"> a benefit for married employees that’s not available for people in a civil partnership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>selecting someone for redundancy because they have a protected characteristic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>failing to make reasonable adjustments for a disabled worker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>firing someone for making an allegation of discrimination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>firing someone because they’re a union member</w:t>
      </w:r>
    </w:p>
    <w:p w:rsidR="006628A1" w:rsidRDefault="006628A1" w:rsidP="00C75DEB">
      <w:pPr>
        <w:numPr>
          <w:ilvl w:val="0"/>
          <w:numId w:val="5"/>
        </w:numPr>
        <w:spacing w:after="120" w:line="240" w:lineRule="auto"/>
      </w:pPr>
      <w:r>
        <w:t xml:space="preserve">unfairly rejecting a </w:t>
      </w:r>
      <w:hyperlink r:id="rId10" w:tooltip="Flexible working" w:history="1">
        <w:r>
          <w:rPr>
            <w:rStyle w:val="Hyperlink"/>
          </w:rPr>
          <w:t>request for flexible working</w:t>
        </w:r>
      </w:hyperlink>
      <w:r>
        <w:t xml:space="preserve"> from a new parent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This includes self-employed people on a contract for you.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Training and promotion can’t just happen because of an employee’s age or the time they’ve worked for you.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 xml:space="preserve">You should also not just choose older workers for discussions about retirement. Such talks should be part of general discussions about each worker’s career development. </w:t>
      </w:r>
    </w:p>
    <w:p w:rsidR="006628A1" w:rsidRDefault="006628A1" w:rsidP="00C75DEB">
      <w:pPr>
        <w:pStyle w:val="Heading2"/>
        <w:spacing w:before="0" w:beforeAutospacing="0" w:after="120" w:afterAutospacing="0"/>
      </w:pPr>
      <w:r>
        <w:t>Employment tribunals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 xml:space="preserve">An employee who thinks they’ve been discriminated against may raise a </w:t>
      </w:r>
      <w:hyperlink r:id="rId11" w:tooltip="Formal procedures" w:history="1">
        <w:r>
          <w:rPr>
            <w:rStyle w:val="Hyperlink"/>
          </w:rPr>
          <w:t>grievance</w:t>
        </w:r>
      </w:hyperlink>
      <w:r>
        <w:t xml:space="preserve"> or take their case to an employment tribunal.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You are responsible for discrimination carried out by your employees unless you can show you’ve done everything you reasonably could to prevent or stop it.</w:t>
      </w:r>
    </w:p>
    <w:p w:rsidR="006628A1" w:rsidRDefault="006628A1" w:rsidP="00C75DEB">
      <w:pPr>
        <w:pStyle w:val="Heading2"/>
        <w:spacing w:before="0" w:beforeAutospacing="0" w:after="120" w:afterAutospacing="0"/>
      </w:pPr>
      <w:r>
        <w:t>Employing family members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If you hire members of your family you must:</w:t>
      </w:r>
    </w:p>
    <w:p w:rsidR="006628A1" w:rsidRDefault="006628A1" w:rsidP="00C75DEB">
      <w:pPr>
        <w:numPr>
          <w:ilvl w:val="0"/>
          <w:numId w:val="6"/>
        </w:numPr>
        <w:spacing w:after="120" w:line="240" w:lineRule="auto"/>
      </w:pPr>
      <w:r>
        <w:t>avoid special treatment in terms of pay, promotion and working conditions</w:t>
      </w:r>
    </w:p>
    <w:p w:rsidR="006628A1" w:rsidRDefault="006628A1" w:rsidP="00C75DEB">
      <w:pPr>
        <w:numPr>
          <w:ilvl w:val="0"/>
          <w:numId w:val="6"/>
        </w:numPr>
        <w:spacing w:after="120" w:line="240" w:lineRule="auto"/>
      </w:pPr>
      <w:r>
        <w:t xml:space="preserve">make sure tax and </w:t>
      </w:r>
      <w:hyperlink r:id="rId12" w:tooltip="National Insurance" w:history="1">
        <w:r>
          <w:rPr>
            <w:rStyle w:val="Hyperlink"/>
          </w:rPr>
          <w:t>national insurance contributions</w:t>
        </w:r>
      </w:hyperlink>
      <w:r>
        <w:t xml:space="preserve"> are done correctly</w:t>
      </w:r>
    </w:p>
    <w:p w:rsidR="006628A1" w:rsidRDefault="006628A1" w:rsidP="00C75DEB">
      <w:pPr>
        <w:pStyle w:val="Heading2"/>
        <w:spacing w:before="0" w:beforeAutospacing="0" w:after="120" w:afterAutospacing="0"/>
      </w:pPr>
      <w:r>
        <w:t>Gender reassignment</w:t>
      </w:r>
    </w:p>
    <w:p w:rsidR="006628A1" w:rsidRDefault="006628A1" w:rsidP="00C75DEB">
      <w:pPr>
        <w:pStyle w:val="NormalWeb"/>
        <w:spacing w:before="0" w:beforeAutospacing="0" w:after="120" w:afterAutospacing="0"/>
      </w:pPr>
      <w:r>
        <w:t>The moment an employee tells their employer that they are going to have gender reassignment, they are protected from discrimination. This includes:</w:t>
      </w:r>
    </w:p>
    <w:p w:rsidR="006628A1" w:rsidRDefault="006628A1" w:rsidP="00C75DEB">
      <w:pPr>
        <w:numPr>
          <w:ilvl w:val="0"/>
          <w:numId w:val="7"/>
        </w:numPr>
        <w:spacing w:after="120" w:line="240" w:lineRule="auto"/>
      </w:pPr>
      <w:r>
        <w:t>disadvantaging the worker because of the time they may have to take off because of medical treatment</w:t>
      </w:r>
    </w:p>
    <w:p w:rsidR="006628A1" w:rsidRDefault="006628A1" w:rsidP="00C75DEB">
      <w:pPr>
        <w:numPr>
          <w:ilvl w:val="0"/>
          <w:numId w:val="7"/>
        </w:numPr>
        <w:spacing w:after="120" w:line="240" w:lineRule="auto"/>
      </w:pPr>
      <w:r>
        <w:t>enabling the worker to use facilities appropriate to their gender</w:t>
      </w:r>
    </w:p>
    <w:p w:rsidR="006628A1" w:rsidRDefault="006628A1" w:rsidP="00C75DEB">
      <w:pPr>
        <w:numPr>
          <w:ilvl w:val="0"/>
          <w:numId w:val="7"/>
        </w:numPr>
        <w:spacing w:after="120" w:line="240" w:lineRule="auto"/>
      </w:pPr>
      <w:r>
        <w:t xml:space="preserve">once the worker has a Gender Reassignment Certificate and a new birth certificate, you must amend your records, </w:t>
      </w:r>
      <w:proofErr w:type="spellStart"/>
      <w:r>
        <w:t>eg</w:t>
      </w:r>
      <w:proofErr w:type="spellEnd"/>
      <w:r>
        <w:t xml:space="preserve"> human resources records, to reflect this</w:t>
      </w:r>
    </w:p>
    <w:p w:rsidR="006628A1" w:rsidRDefault="006628A1" w:rsidP="00C75DEB">
      <w:pPr>
        <w:numPr>
          <w:ilvl w:val="0"/>
          <w:numId w:val="7"/>
        </w:numPr>
        <w:spacing w:after="120" w:line="240" w:lineRule="auto"/>
      </w:pPr>
      <w:r>
        <w:t xml:space="preserve">insuring complete confidentiality of all information the worker gives you regarding their gender history </w:t>
      </w:r>
    </w:p>
    <w:p w:rsidR="00101BA4" w:rsidRPr="006628A1" w:rsidRDefault="00101BA4" w:rsidP="00C75DEB">
      <w:pPr>
        <w:spacing w:after="120"/>
      </w:pPr>
    </w:p>
    <w:sectPr w:rsidR="00101BA4" w:rsidRPr="006628A1" w:rsidSect="00C75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7D"/>
    <w:multiLevelType w:val="multilevel"/>
    <w:tmpl w:val="F0C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46DEE"/>
    <w:multiLevelType w:val="multilevel"/>
    <w:tmpl w:val="341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1BF0"/>
    <w:multiLevelType w:val="multilevel"/>
    <w:tmpl w:val="BF2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6E05"/>
    <w:multiLevelType w:val="multilevel"/>
    <w:tmpl w:val="2DC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A192E"/>
    <w:multiLevelType w:val="multilevel"/>
    <w:tmpl w:val="708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203D0"/>
    <w:multiLevelType w:val="multilevel"/>
    <w:tmpl w:val="FC32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A4A9E"/>
    <w:multiLevelType w:val="multilevel"/>
    <w:tmpl w:val="99E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8A1"/>
    <w:rsid w:val="00101BA4"/>
    <w:rsid w:val="006628A1"/>
    <w:rsid w:val="00C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4"/>
  </w:style>
  <w:style w:type="paragraph" w:styleId="Heading1">
    <w:name w:val="heading 1"/>
    <w:basedOn w:val="Normal"/>
    <w:next w:val="Normal"/>
    <w:link w:val="Heading1Char"/>
    <w:uiPriority w:val="9"/>
    <w:qFormat/>
    <w:rsid w:val="0066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2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2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8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2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8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28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cruitment-disabled-people/encouraging-applicati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recruitment-disabled-people" TargetMode="External"/><Relationship Id="rId12" Type="http://schemas.openxmlformats.org/officeDocument/2006/relationships/hyperlink" Target="https://www.gov.uk/national-insu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iscrimination-your-rights/types-of-discrimination" TargetMode="External"/><Relationship Id="rId11" Type="http://schemas.openxmlformats.org/officeDocument/2006/relationships/hyperlink" Target="https://www.gov.uk/solve-workplace-dispute/formal-procedu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flexible-wo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employers-checks-job-applic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Sp. z o.o.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Richard</cp:lastModifiedBy>
  <cp:revision>2</cp:revision>
  <dcterms:created xsi:type="dcterms:W3CDTF">2012-10-17T06:52:00Z</dcterms:created>
  <dcterms:modified xsi:type="dcterms:W3CDTF">2015-11-07T06:27:00Z</dcterms:modified>
</cp:coreProperties>
</file>